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5F045E" w:rsidRDefault="0031248F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25.06.2018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573389" w:rsidRDefault="00A335B5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    </w:t>
            </w:r>
            <w:r w:rsidR="005F045E"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№</w:t>
            </w:r>
            <w:r w:rsidR="00573389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="000B62AE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 xml:space="preserve"> </w:t>
            </w:r>
            <w:r w:rsidR="0031248F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1152/0/197-18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засобу</w:t>
      </w:r>
    </w:p>
    <w:p w:rsidR="00887BE7" w:rsidRDefault="000B62A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«РЕФАКТО  АФ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009D9"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</w:p>
    <w:p w:rsidR="000B62AE" w:rsidRDefault="007B77C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дітей</w:t>
      </w:r>
      <w:r w:rsidR="009009D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1090">
        <w:rPr>
          <w:rFonts w:ascii="Times New Roman" w:hAnsi="Times New Roman"/>
          <w:sz w:val="28"/>
          <w:szCs w:val="28"/>
          <w:lang w:val="uk-UA"/>
        </w:rPr>
        <w:t>хворих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гемофілію типів А або В </w:t>
      </w:r>
    </w:p>
    <w:p w:rsidR="00496B6E" w:rsidRDefault="00496B6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або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7B77C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9009D9">
        <w:rPr>
          <w:rFonts w:ascii="Times New Roman" w:hAnsi="Times New Roman"/>
          <w:sz w:val="28"/>
          <w:szCs w:val="28"/>
          <w:lang w:val="uk-UA"/>
        </w:rPr>
        <w:t>ого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 за </w:t>
      </w:r>
    </w:p>
    <w:p w:rsidR="009009D9" w:rsidRDefault="00CA452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кошти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7BA5" w:rsidRPr="00E62774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5F045E">
        <w:rPr>
          <w:rFonts w:ascii="Times New Roman" w:hAnsi="Times New Roman"/>
          <w:sz w:val="28"/>
          <w:szCs w:val="28"/>
          <w:lang w:val="uk-UA"/>
        </w:rPr>
        <w:t>6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Pr="00496B6E" w:rsidRDefault="002F031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МОЗ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B62AE">
        <w:rPr>
          <w:rFonts w:ascii="Times New Roman" w:hAnsi="Times New Roman"/>
          <w:sz w:val="28"/>
          <w:szCs w:val="28"/>
          <w:lang w:val="uk-UA"/>
        </w:rPr>
        <w:t>13 червня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96B6E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B62AE">
        <w:rPr>
          <w:rFonts w:ascii="Times New Roman" w:hAnsi="Times New Roman"/>
          <w:sz w:val="28"/>
          <w:szCs w:val="28"/>
          <w:lang w:val="uk-UA"/>
        </w:rPr>
        <w:t>1120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>«Про Розпо</w:t>
      </w:r>
      <w:r w:rsidR="007B77C3">
        <w:rPr>
          <w:rFonts w:ascii="Times New Roman" w:hAnsi="Times New Roman"/>
          <w:sz w:val="28"/>
          <w:szCs w:val="28"/>
          <w:lang w:val="uk-UA"/>
        </w:rPr>
        <w:t>діл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   лікарського  засобу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«РЕФАКТО  АФ» 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  <w:r w:rsidR="00AF5416">
        <w:rPr>
          <w:rFonts w:ascii="Times New Roman" w:hAnsi="Times New Roman"/>
          <w:sz w:val="28"/>
          <w:szCs w:val="28"/>
          <w:lang w:val="uk-UA"/>
        </w:rPr>
        <w:t>дітей, хворих 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2AE">
        <w:rPr>
          <w:rFonts w:ascii="Times New Roman" w:hAnsi="Times New Roman"/>
          <w:sz w:val="28"/>
          <w:szCs w:val="28"/>
          <w:lang w:val="uk-UA"/>
        </w:rPr>
        <w:t>закупленого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за  кошти Де</w:t>
      </w:r>
      <w:r w:rsidR="005F045E">
        <w:rPr>
          <w:rFonts w:ascii="Times New Roman" w:hAnsi="Times New Roman"/>
          <w:sz w:val="28"/>
          <w:szCs w:val="28"/>
          <w:lang w:val="uk-UA"/>
        </w:rPr>
        <w:t>ржавного бюджету України на 2016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87BE7">
        <w:rPr>
          <w:rFonts w:ascii="Times New Roman" w:hAnsi="Times New Roman"/>
          <w:sz w:val="28"/>
          <w:szCs w:val="28"/>
          <w:lang w:val="uk-UA"/>
        </w:rPr>
        <w:t>який  надійшов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 в частині </w:t>
      </w:r>
      <w:r w:rsidR="00042E79">
        <w:rPr>
          <w:rFonts w:ascii="Times New Roman" w:hAnsi="Times New Roman"/>
          <w:sz w:val="28"/>
          <w:szCs w:val="28"/>
          <w:lang w:val="uk-UA"/>
        </w:rPr>
        <w:t>«</w:t>
      </w:r>
      <w:r w:rsidR="005F045E">
        <w:rPr>
          <w:rFonts w:ascii="Times New Roman" w:hAnsi="Times New Roman"/>
          <w:sz w:val="28"/>
          <w:szCs w:val="28"/>
          <w:lang w:val="uk-UA"/>
        </w:rPr>
        <w:t>Централізована з</w:t>
      </w:r>
      <w:r w:rsidR="00042E79">
        <w:rPr>
          <w:rFonts w:ascii="Times New Roman" w:hAnsi="Times New Roman"/>
          <w:sz w:val="28"/>
          <w:szCs w:val="28"/>
          <w:lang w:val="uk-UA"/>
        </w:rPr>
        <w:t>акупівля лікарських засобів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для забезпечення  дітей, хворих на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372438">
        <w:rPr>
          <w:rFonts w:ascii="Times New Roman" w:hAnsi="Times New Roman"/>
          <w:sz w:val="28"/>
          <w:szCs w:val="28"/>
          <w:lang w:val="uk-UA"/>
        </w:rPr>
        <w:t>,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0A57" w:rsidRPr="0069710A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627135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 засобу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«РЕФАКТО  АФ» </w:t>
      </w:r>
      <w:r w:rsidR="00496B6E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лікування дітей, хворих на 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4F190D" w:rsidRDefault="004F190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416" w:rsidRDefault="00A53C7F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Директору 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F5416">
        <w:rPr>
          <w:rFonts w:ascii="Times New Roman" w:hAnsi="Times New Roman"/>
          <w:sz w:val="28"/>
          <w:szCs w:val="28"/>
          <w:lang w:val="uk-UA"/>
        </w:rPr>
        <w:t>«Дніпропетровська  обласна дитяча клінічна лікарня» ДОР»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7BE7" w:rsidRDefault="00B82A5E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персональну відповідальність та контроль за збереженням і раціональним використанням 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засоб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</w:t>
      </w:r>
      <w:r w:rsidR="00887BE7">
        <w:rPr>
          <w:rFonts w:ascii="Times New Roman" w:hAnsi="Times New Roman"/>
          <w:sz w:val="28"/>
          <w:szCs w:val="28"/>
          <w:lang w:val="uk-UA"/>
        </w:rPr>
        <w:t>«</w:t>
      </w:r>
      <w:r w:rsidR="000B62AE">
        <w:rPr>
          <w:rFonts w:ascii="Times New Roman" w:hAnsi="Times New Roman"/>
          <w:sz w:val="28"/>
          <w:szCs w:val="28"/>
          <w:lang w:val="uk-UA"/>
        </w:rPr>
        <w:t>РЕФАКТО  АФ</w:t>
      </w:r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4F190D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4F190D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F190D"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="004F190D"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 w:rsidR="004F190D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4F190D">
        <w:rPr>
          <w:rFonts w:ascii="Times New Roman" w:hAnsi="Times New Roman"/>
          <w:sz w:val="28"/>
          <w:szCs w:val="28"/>
          <w:lang w:val="uk-UA"/>
        </w:rPr>
        <w:t>;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2AE" w:rsidRDefault="000B62AE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2AE" w:rsidRDefault="000B62AE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190D" w:rsidRDefault="004F190D" w:rsidP="00627135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2</w:t>
      </w:r>
    </w:p>
    <w:p w:rsidR="008724C6" w:rsidRDefault="008724C6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762342" w:rsidRDefault="00887BE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8724C6">
        <w:rPr>
          <w:rFonts w:ascii="Times New Roman" w:hAnsi="Times New Roman"/>
          <w:sz w:val="28"/>
          <w:szCs w:val="28"/>
          <w:lang w:val="uk-UA"/>
        </w:rPr>
        <w:t>.</w:t>
      </w:r>
      <w:r w:rsidR="008724C6" w:rsidRPr="003577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облік препарату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охорони здоров’я облдержадміністрації </w:t>
      </w:r>
      <w:r w:rsidR="00762342">
        <w:rPr>
          <w:rFonts w:ascii="Times New Roman" w:hAnsi="Times New Roman"/>
          <w:sz w:val="28"/>
          <w:szCs w:val="28"/>
          <w:lang w:val="uk-UA"/>
        </w:rPr>
        <w:t>від 23 лютого 2018 № 392/0/197-18 «</w:t>
      </w:r>
      <w:r w:rsidR="00762342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762342">
        <w:rPr>
          <w:rFonts w:ascii="Times New Roman" w:hAnsi="Times New Roman"/>
          <w:sz w:val="28"/>
          <w:szCs w:val="28"/>
          <w:lang w:val="uk-UA"/>
        </w:rPr>
        <w:t>хом централізованого постачання» (зі змінами);</w:t>
      </w:r>
    </w:p>
    <w:p w:rsidR="008724C6" w:rsidRDefault="00762342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="000B62AE">
        <w:rPr>
          <w:rFonts w:ascii="Times New Roman" w:hAnsi="Times New Roman"/>
          <w:sz w:val="28"/>
          <w:szCs w:val="28"/>
          <w:lang w:val="uk-UA"/>
        </w:rPr>
        <w:t>.по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дання актів списання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 засобу</w:t>
      </w:r>
      <w:r w:rsidR="008724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8724C6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8724C6" w:rsidRPr="00CD2DD5">
        <w:rPr>
          <w:rFonts w:ascii="Times New Roman" w:hAnsi="Times New Roman"/>
          <w:sz w:val="28"/>
          <w:szCs w:val="28"/>
        </w:rPr>
        <w:br/>
      </w:r>
      <w:r w:rsidR="008724C6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8724C6">
        <w:rPr>
          <w:rFonts w:ascii="Times New Roman" w:hAnsi="Times New Roman"/>
          <w:sz w:val="28"/>
          <w:szCs w:val="28"/>
          <w:lang w:val="uk-UA"/>
        </w:rPr>
        <w:t>Укрвакцина</w:t>
      </w:r>
      <w:proofErr w:type="spellEnd"/>
      <w:r w:rsidR="008724C6">
        <w:rPr>
          <w:rFonts w:ascii="Times New Roman" w:hAnsi="Times New Roman"/>
          <w:sz w:val="28"/>
          <w:szCs w:val="28"/>
          <w:lang w:val="uk-UA"/>
        </w:rPr>
        <w:t>» МОЗ України»</w:t>
      </w:r>
      <w:r w:rsidR="00C85BB0">
        <w:rPr>
          <w:rFonts w:ascii="Times New Roman" w:hAnsi="Times New Roman"/>
          <w:sz w:val="28"/>
          <w:szCs w:val="28"/>
          <w:lang w:val="uk-UA"/>
        </w:rPr>
        <w:t>.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2AE" w:rsidRPr="000B62AE" w:rsidRDefault="000B62AE" w:rsidP="000B62AE">
      <w:pPr>
        <w:ind w:firstLine="54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 xml:space="preserve">                                                                      </w:t>
      </w:r>
      <w:r w:rsidRPr="000B62AE">
        <w:rPr>
          <w:rFonts w:ascii="Times New Roman" w:hAnsi="Times New Roman"/>
          <w:bCs/>
          <w:color w:val="000000"/>
          <w:sz w:val="28"/>
          <w:szCs w:val="28"/>
          <w:lang w:val="uk-UA"/>
        </w:rPr>
        <w:t>Термін – щомісячно до 06 числа</w:t>
      </w:r>
    </w:p>
    <w:p w:rsidR="000B62AE" w:rsidRPr="000B62AE" w:rsidRDefault="000B62AE" w:rsidP="000B62AE">
      <w:pPr>
        <w:ind w:firstLine="54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0B62A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</w:t>
      </w:r>
      <w:r w:rsidRPr="000B62AE">
        <w:rPr>
          <w:rFonts w:ascii="Times New Roman" w:hAnsi="Times New Roman"/>
          <w:bCs/>
          <w:color w:val="000000"/>
          <w:sz w:val="28"/>
          <w:szCs w:val="28"/>
          <w:lang w:val="uk-UA"/>
        </w:rPr>
        <w:t>місяця, наступного за звітним</w:t>
      </w:r>
    </w:p>
    <w:p w:rsidR="008724C6" w:rsidRPr="0066050E" w:rsidRDefault="008724C6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Default="008724C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82A5E">
        <w:rPr>
          <w:rFonts w:ascii="Times New Roman" w:hAnsi="Times New Roman"/>
          <w:sz w:val="28"/>
          <w:szCs w:val="28"/>
          <w:lang w:val="uk-UA"/>
        </w:rPr>
        <w:t>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496B6E" w:rsidRDefault="00D51168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025A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84856" w:rsidRDefault="00496B6E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62342">
        <w:rPr>
          <w:rFonts w:ascii="Times New Roman" w:hAnsi="Times New Roman"/>
          <w:sz w:val="28"/>
          <w:szCs w:val="28"/>
          <w:lang w:val="uk-UA"/>
        </w:rPr>
        <w:t>4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27135">
        <w:rPr>
          <w:rFonts w:ascii="Times New Roman" w:hAnsi="Times New Roman"/>
          <w:sz w:val="28"/>
          <w:szCs w:val="28"/>
          <w:lang w:val="uk-UA"/>
        </w:rPr>
        <w:t>Наказ МОЗ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 України від  13 червня</w:t>
      </w:r>
      <w:r w:rsidR="00221049">
        <w:rPr>
          <w:rFonts w:ascii="Times New Roman" w:hAnsi="Times New Roman"/>
          <w:sz w:val="28"/>
          <w:szCs w:val="28"/>
          <w:lang w:val="uk-UA"/>
        </w:rPr>
        <w:t xml:space="preserve"> 2018 № </w:t>
      </w:r>
      <w:r w:rsidR="000B62AE">
        <w:rPr>
          <w:rFonts w:ascii="Times New Roman" w:hAnsi="Times New Roman"/>
          <w:sz w:val="28"/>
          <w:szCs w:val="28"/>
          <w:lang w:val="uk-UA"/>
        </w:rPr>
        <w:t>1120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від 18 червня  2018 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 ДГЕМ-172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</w:p>
    <w:p w:rsidR="00B676DD" w:rsidRDefault="005A596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65B62">
        <w:rPr>
          <w:rFonts w:ascii="Times New Roman" w:hAnsi="Times New Roman"/>
          <w:sz w:val="28"/>
          <w:szCs w:val="28"/>
          <w:lang w:val="uk-UA"/>
        </w:rPr>
        <w:t>.</w:t>
      </w:r>
      <w:r w:rsidR="004F190D" w:rsidRPr="004F19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>Лист</w:t>
      </w:r>
      <w:r w:rsidR="00380A8F">
        <w:rPr>
          <w:rFonts w:ascii="Times New Roman" w:hAnsi="Times New Roman"/>
          <w:sz w:val="28"/>
          <w:szCs w:val="28"/>
          <w:lang w:val="uk-UA"/>
        </w:rPr>
        <w:t xml:space="preserve"> експерта за напрямом  «Дитяча гематологія»  від 25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червня 2018  </w:t>
      </w:r>
      <w:r w:rsidR="00380A8F">
        <w:rPr>
          <w:rFonts w:ascii="Times New Roman" w:hAnsi="Times New Roman"/>
          <w:sz w:val="28"/>
          <w:szCs w:val="28"/>
          <w:lang w:val="uk-UA"/>
        </w:rPr>
        <w:t xml:space="preserve">              № 791</w:t>
      </w:r>
      <w:r w:rsidR="00D12D1D">
        <w:rPr>
          <w:rFonts w:ascii="Times New Roman" w:hAnsi="Times New Roman"/>
          <w:sz w:val="28"/>
          <w:szCs w:val="28"/>
          <w:lang w:val="uk-UA"/>
        </w:rPr>
        <w:t>.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Pr="0069710A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C2" w:rsidRDefault="00627135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В.В.КУЛИК</w:t>
      </w:r>
    </w:p>
    <w:p w:rsidR="004F190D" w:rsidRDefault="004F190D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Pr="00380A8F" w:rsidRDefault="00762342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380A8F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="00BB519B" w:rsidRPr="00380A8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B32137" w:rsidRPr="00380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380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380A8F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31248F">
        <w:rPr>
          <w:rFonts w:ascii="Times New Roman" w:hAnsi="Times New Roman"/>
          <w:sz w:val="24"/>
          <w:szCs w:val="24"/>
          <w:u w:val="single"/>
          <w:lang w:val="uk-UA"/>
        </w:rPr>
        <w:t>25.06.2018</w:t>
      </w:r>
      <w:r w:rsidR="00380A8F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31248F">
        <w:rPr>
          <w:rFonts w:ascii="Times New Roman" w:hAnsi="Times New Roman"/>
          <w:sz w:val="24"/>
          <w:szCs w:val="24"/>
          <w:u w:val="single"/>
          <w:lang w:val="uk-UA"/>
        </w:rPr>
        <w:t>1152/0/197-18</w:t>
      </w:r>
      <w:r w:rsidR="00380A8F">
        <w:rPr>
          <w:rFonts w:ascii="Times New Roman" w:hAnsi="Times New Roman"/>
          <w:sz w:val="24"/>
          <w:szCs w:val="24"/>
          <w:u w:val="single"/>
          <w:lang w:val="uk-UA"/>
        </w:rPr>
        <w:t>_</w:t>
      </w:r>
      <w:bookmarkStart w:id="0" w:name="_GoBack"/>
      <w:bookmarkEnd w:id="0"/>
      <w:r w:rsidR="00A75FAD">
        <w:rPr>
          <w:rFonts w:ascii="Times New Roman" w:hAnsi="Times New Roman"/>
          <w:sz w:val="24"/>
          <w:szCs w:val="24"/>
          <w:lang w:val="uk-UA"/>
        </w:rPr>
        <w:t>_</w:t>
      </w:r>
    </w:p>
    <w:p w:rsidR="0044784A" w:rsidRDefault="0044784A" w:rsidP="008F79D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B2FFC" w:rsidRDefault="003B2FFC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519B" w:rsidRPr="003E71CF" w:rsidRDefault="00BB519B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496B6E" w:rsidRPr="003E71CF" w:rsidRDefault="00762342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засобу </w:t>
      </w:r>
      <w:r w:rsidR="00380A8F">
        <w:rPr>
          <w:rFonts w:ascii="Times New Roman" w:hAnsi="Times New Roman"/>
          <w:sz w:val="28"/>
          <w:szCs w:val="28"/>
          <w:lang w:val="uk-UA"/>
        </w:rPr>
        <w:t xml:space="preserve">«РЕФАКТО  АФ»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3E71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3E71CF">
        <w:rPr>
          <w:rFonts w:ascii="Times New Roman" w:hAnsi="Times New Roman"/>
          <w:sz w:val="28"/>
          <w:szCs w:val="28"/>
          <w:lang w:val="uk-UA"/>
        </w:rPr>
        <w:t>для лікування дітей,</w:t>
      </w:r>
    </w:p>
    <w:p w:rsidR="004F190D" w:rsidRDefault="00496B6E" w:rsidP="008F79D6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 xml:space="preserve">хворих на   гемофілію типів А або В або  хворобу  </w:t>
      </w:r>
      <w:proofErr w:type="spellStart"/>
      <w:r w:rsidRPr="003E71CF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</w:p>
    <w:p w:rsidR="003E71CF" w:rsidRDefault="003E71CF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B2FFC" w:rsidRPr="003E71CF" w:rsidRDefault="003B2FFC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95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930"/>
        <w:gridCol w:w="984"/>
        <w:gridCol w:w="2336"/>
        <w:gridCol w:w="1895"/>
        <w:gridCol w:w="1752"/>
      </w:tblGrid>
      <w:tr w:rsidR="008F79D6" w:rsidRPr="007A04AF" w:rsidTr="00380A8F">
        <w:trPr>
          <w:trHeight w:val="178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627135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Назва </w:t>
            </w:r>
          </w:p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лікарського засобу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«Дніпропетровська обласна дитяча клінічна лікарня»</w:t>
            </w:r>
          </w:p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ДОР»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380A8F" w:rsidRDefault="00762342" w:rsidP="0076234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380A8F" w:rsidRDefault="00762342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Термін придатності </w:t>
            </w:r>
          </w:p>
        </w:tc>
      </w:tr>
      <w:tr w:rsidR="00762342" w:rsidRPr="007A04AF" w:rsidTr="00380A8F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380A8F" w:rsidRDefault="00762342" w:rsidP="001E6D5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380A8F" w:rsidRDefault="00762342" w:rsidP="001E6D5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380A8F" w:rsidRDefault="00762342" w:rsidP="001E6D51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42" w:rsidRPr="00380A8F" w:rsidRDefault="00762342" w:rsidP="008F79D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кількість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Pr="00380A8F" w:rsidRDefault="00762342" w:rsidP="0076234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Pr="00380A8F" w:rsidRDefault="00762342" w:rsidP="00762342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8F79D6" w:rsidRPr="007A04AF" w:rsidTr="00380A8F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A8F" w:rsidRPr="00380A8F" w:rsidRDefault="00380A8F" w:rsidP="0062713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РЕФАКТО  АФ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(Фактор коагуляції крові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рекомбінантний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="00627135"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627135" w:rsidRPr="00380A8F" w:rsidRDefault="00380A8F" w:rsidP="00627135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ліофілізат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627135"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 розчину для </w:t>
            </w:r>
            <w:proofErr w:type="spellStart"/>
            <w:r w:rsidR="00627135"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ін</w:t>
            </w:r>
            <w:proofErr w:type="spellEnd"/>
            <w:r w:rsidR="00627135" w:rsidRPr="00380A8F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єкцій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по 500</w:t>
            </w:r>
            <w:r w:rsidR="00627135"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МО </w:t>
            </w:r>
          </w:p>
          <w:p w:rsidR="008F79D6" w:rsidRPr="00380A8F" w:rsidRDefault="00380A8F" w:rsidP="00380A8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у флаконі</w:t>
            </w:r>
            <w:r w:rsidR="00627135"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№ 1 у  комплекті </w:t>
            </w:r>
            <w:r w:rsidR="008F79D6"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розчинником </w:t>
            </w: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 4</w:t>
            </w:r>
            <w:r w:rsidR="008F79D6"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79D6" w:rsidRPr="00380A8F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="00627135"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</w:t>
            </w: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попередньо наповненому шприці та стерильним набором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Default="00380A8F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</w:t>
            </w:r>
          </w:p>
          <w:p w:rsidR="008F79D6" w:rsidRPr="00380A8F" w:rsidRDefault="00380A8F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 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380A8F">
              <w:rPr>
                <w:rFonts w:ascii="Times New Roman" w:hAnsi="Times New Roman"/>
                <w:sz w:val="24"/>
                <w:szCs w:val="24"/>
                <w:lang w:val="uk-UA"/>
              </w:rPr>
              <w:t>2 000</w:t>
            </w:r>
          </w:p>
          <w:p w:rsidR="00380A8F" w:rsidRPr="00380A8F" w:rsidRDefault="00380A8F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Default="00380A8F" w:rsidP="00380A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2 000</w:t>
            </w:r>
          </w:p>
          <w:p w:rsidR="008F79D6" w:rsidRPr="00380A8F" w:rsidRDefault="00380A8F" w:rsidP="00380A8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8F79D6" w:rsidRPr="00380A8F" w:rsidRDefault="008F79D6" w:rsidP="001E6D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8F79D6" w:rsidRPr="00380A8F" w:rsidRDefault="00C84E31" w:rsidP="00380A8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31.0</w:t>
            </w:r>
            <w:r w:rsidR="00380A8F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3B2FFC" w:rsidRPr="00380A8F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 w:rsidR="00380A8F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380A8F" w:rsidRPr="007A04AF" w:rsidTr="00380A8F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8F" w:rsidRPr="00380A8F" w:rsidRDefault="00380A8F" w:rsidP="001E6D5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8F" w:rsidRPr="00380A8F" w:rsidRDefault="00380A8F" w:rsidP="00E34ED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РЕФАКТО  АФ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(Фактор коагуляції крові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рекомбінантний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380A8F" w:rsidRPr="00380A8F" w:rsidRDefault="00380A8F" w:rsidP="00E34ED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ліофілізат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 розчину для 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ін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єкцій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, по 500 МО </w:t>
            </w:r>
          </w:p>
          <w:p w:rsidR="00380A8F" w:rsidRPr="00380A8F" w:rsidRDefault="00380A8F" w:rsidP="00E34ED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флаконі № 1 у  комплекті з розчинником  по 4 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попередньо наповненому шприці та стерильним набором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</w:t>
            </w:r>
          </w:p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 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1 500</w:t>
            </w:r>
          </w:p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1 500</w:t>
            </w:r>
          </w:p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80A8F" w:rsidRPr="00380A8F" w:rsidRDefault="00380A8F" w:rsidP="00E34EDF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380A8F" w:rsidRPr="00380A8F" w:rsidRDefault="00380A8F" w:rsidP="00E34EDF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</w:tbl>
    <w:p w:rsidR="008F79D6" w:rsidRDefault="008F79D6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C84E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В.о.з</w:t>
      </w:r>
      <w:r w:rsidR="00493603">
        <w:rPr>
          <w:rFonts w:ascii="Times New Roman" w:hAnsi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4936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 директора                                                  </w:t>
      </w:r>
      <w:r w:rsidR="00380A8F">
        <w:rPr>
          <w:rFonts w:ascii="Times New Roman" w:hAnsi="Times New Roman"/>
          <w:sz w:val="28"/>
          <w:szCs w:val="28"/>
          <w:lang w:val="uk-UA"/>
        </w:rPr>
        <w:t>Ю.С.Черняк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sectPr w:rsidR="00BB519B" w:rsidSect="004F190D">
      <w:headerReference w:type="even" r:id="rId10"/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F0B" w:rsidRDefault="00874F0B">
      <w:r>
        <w:separator/>
      </w:r>
    </w:p>
  </w:endnote>
  <w:endnote w:type="continuationSeparator" w:id="0">
    <w:p w:rsidR="00874F0B" w:rsidRDefault="00874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F0B" w:rsidRDefault="00874F0B">
      <w:r>
        <w:separator/>
      </w:r>
    </w:p>
  </w:footnote>
  <w:footnote w:type="continuationSeparator" w:id="0">
    <w:p w:rsidR="00874F0B" w:rsidRDefault="00874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5B7D"/>
    <w:rsid w:val="000177AE"/>
    <w:rsid w:val="00031D55"/>
    <w:rsid w:val="00042E79"/>
    <w:rsid w:val="00046964"/>
    <w:rsid w:val="00055677"/>
    <w:rsid w:val="00057135"/>
    <w:rsid w:val="00063EFC"/>
    <w:rsid w:val="000A00AA"/>
    <w:rsid w:val="000A7971"/>
    <w:rsid w:val="000B62AE"/>
    <w:rsid w:val="000E4E6F"/>
    <w:rsid w:val="000F5A1D"/>
    <w:rsid w:val="000F6BC1"/>
    <w:rsid w:val="00122063"/>
    <w:rsid w:val="00125D7D"/>
    <w:rsid w:val="00136F14"/>
    <w:rsid w:val="00146252"/>
    <w:rsid w:val="00153D26"/>
    <w:rsid w:val="00165B62"/>
    <w:rsid w:val="0019045E"/>
    <w:rsid w:val="00191CC2"/>
    <w:rsid w:val="001929C2"/>
    <w:rsid w:val="00195679"/>
    <w:rsid w:val="001B55D2"/>
    <w:rsid w:val="001B60D7"/>
    <w:rsid w:val="001C5569"/>
    <w:rsid w:val="001E375F"/>
    <w:rsid w:val="001E7A43"/>
    <w:rsid w:val="0020109F"/>
    <w:rsid w:val="002127C9"/>
    <w:rsid w:val="00221049"/>
    <w:rsid w:val="00222329"/>
    <w:rsid w:val="00224B01"/>
    <w:rsid w:val="00231DC0"/>
    <w:rsid w:val="00232382"/>
    <w:rsid w:val="00236ED8"/>
    <w:rsid w:val="002408BC"/>
    <w:rsid w:val="00244CD7"/>
    <w:rsid w:val="002633DD"/>
    <w:rsid w:val="00267537"/>
    <w:rsid w:val="0027441C"/>
    <w:rsid w:val="00277AFA"/>
    <w:rsid w:val="00280330"/>
    <w:rsid w:val="00287236"/>
    <w:rsid w:val="00291DE3"/>
    <w:rsid w:val="002A149A"/>
    <w:rsid w:val="002A4C5A"/>
    <w:rsid w:val="002C7BD3"/>
    <w:rsid w:val="002E7278"/>
    <w:rsid w:val="002F0315"/>
    <w:rsid w:val="00300D7A"/>
    <w:rsid w:val="00301A5F"/>
    <w:rsid w:val="0030282E"/>
    <w:rsid w:val="003117E1"/>
    <w:rsid w:val="0031248F"/>
    <w:rsid w:val="003148B6"/>
    <w:rsid w:val="003158CD"/>
    <w:rsid w:val="00317CDB"/>
    <w:rsid w:val="00326BD4"/>
    <w:rsid w:val="00326DC7"/>
    <w:rsid w:val="0033448B"/>
    <w:rsid w:val="003405E4"/>
    <w:rsid w:val="003426FC"/>
    <w:rsid w:val="003456B2"/>
    <w:rsid w:val="00350D42"/>
    <w:rsid w:val="00372438"/>
    <w:rsid w:val="00380A8F"/>
    <w:rsid w:val="003942F8"/>
    <w:rsid w:val="003A0D2F"/>
    <w:rsid w:val="003A1F39"/>
    <w:rsid w:val="003B2FFC"/>
    <w:rsid w:val="003B46CF"/>
    <w:rsid w:val="003B5AA6"/>
    <w:rsid w:val="003E7110"/>
    <w:rsid w:val="003E71CF"/>
    <w:rsid w:val="003E7245"/>
    <w:rsid w:val="003F5C4A"/>
    <w:rsid w:val="00413ED5"/>
    <w:rsid w:val="0042262F"/>
    <w:rsid w:val="004247C6"/>
    <w:rsid w:val="00430FEC"/>
    <w:rsid w:val="004371A2"/>
    <w:rsid w:val="0044784A"/>
    <w:rsid w:val="00450A4A"/>
    <w:rsid w:val="004542D7"/>
    <w:rsid w:val="0046139D"/>
    <w:rsid w:val="0048113D"/>
    <w:rsid w:val="004932B6"/>
    <w:rsid w:val="00493603"/>
    <w:rsid w:val="00495BA1"/>
    <w:rsid w:val="00496B6E"/>
    <w:rsid w:val="004D28CB"/>
    <w:rsid w:val="004D62C8"/>
    <w:rsid w:val="004E0125"/>
    <w:rsid w:val="004F190D"/>
    <w:rsid w:val="004F3C40"/>
    <w:rsid w:val="004F7AA8"/>
    <w:rsid w:val="005025A9"/>
    <w:rsid w:val="005029BD"/>
    <w:rsid w:val="00517B8C"/>
    <w:rsid w:val="0052647F"/>
    <w:rsid w:val="005300F9"/>
    <w:rsid w:val="0054536C"/>
    <w:rsid w:val="00573389"/>
    <w:rsid w:val="00580E05"/>
    <w:rsid w:val="005A4FBE"/>
    <w:rsid w:val="005A5966"/>
    <w:rsid w:val="005B4B7E"/>
    <w:rsid w:val="005C3523"/>
    <w:rsid w:val="005D0748"/>
    <w:rsid w:val="005D0B12"/>
    <w:rsid w:val="005F045E"/>
    <w:rsid w:val="005F445E"/>
    <w:rsid w:val="005F49A7"/>
    <w:rsid w:val="005F5393"/>
    <w:rsid w:val="0060307F"/>
    <w:rsid w:val="00613D44"/>
    <w:rsid w:val="00623B35"/>
    <w:rsid w:val="00624958"/>
    <w:rsid w:val="00627135"/>
    <w:rsid w:val="00631D28"/>
    <w:rsid w:val="00637BA5"/>
    <w:rsid w:val="006553AE"/>
    <w:rsid w:val="00660AB4"/>
    <w:rsid w:val="00682A2F"/>
    <w:rsid w:val="00684632"/>
    <w:rsid w:val="006926FF"/>
    <w:rsid w:val="006A3E36"/>
    <w:rsid w:val="006C5CFD"/>
    <w:rsid w:val="006D1AD8"/>
    <w:rsid w:val="006D4B46"/>
    <w:rsid w:val="00720E5C"/>
    <w:rsid w:val="00724AE3"/>
    <w:rsid w:val="007337D3"/>
    <w:rsid w:val="00762342"/>
    <w:rsid w:val="00766C67"/>
    <w:rsid w:val="00770B68"/>
    <w:rsid w:val="00777DBA"/>
    <w:rsid w:val="00790941"/>
    <w:rsid w:val="00793C1D"/>
    <w:rsid w:val="00795F6C"/>
    <w:rsid w:val="007A668B"/>
    <w:rsid w:val="007B2DA5"/>
    <w:rsid w:val="007B4E5B"/>
    <w:rsid w:val="007B77C3"/>
    <w:rsid w:val="007C36E9"/>
    <w:rsid w:val="007C705B"/>
    <w:rsid w:val="0084148B"/>
    <w:rsid w:val="00845B72"/>
    <w:rsid w:val="00846A39"/>
    <w:rsid w:val="00856A8C"/>
    <w:rsid w:val="00865F99"/>
    <w:rsid w:val="008724C6"/>
    <w:rsid w:val="00874F0B"/>
    <w:rsid w:val="00874F79"/>
    <w:rsid w:val="00887BE7"/>
    <w:rsid w:val="00892D8B"/>
    <w:rsid w:val="008937AB"/>
    <w:rsid w:val="008B2F9A"/>
    <w:rsid w:val="008B3977"/>
    <w:rsid w:val="008C363B"/>
    <w:rsid w:val="008D15DC"/>
    <w:rsid w:val="008F79D6"/>
    <w:rsid w:val="009009D9"/>
    <w:rsid w:val="0090351A"/>
    <w:rsid w:val="00904B14"/>
    <w:rsid w:val="00906B9F"/>
    <w:rsid w:val="0092511E"/>
    <w:rsid w:val="00970C3A"/>
    <w:rsid w:val="00972237"/>
    <w:rsid w:val="0097572B"/>
    <w:rsid w:val="009916CA"/>
    <w:rsid w:val="00996E41"/>
    <w:rsid w:val="00997B67"/>
    <w:rsid w:val="009A05A1"/>
    <w:rsid w:val="009A1FF0"/>
    <w:rsid w:val="009A441C"/>
    <w:rsid w:val="009A6569"/>
    <w:rsid w:val="009C332F"/>
    <w:rsid w:val="009D7744"/>
    <w:rsid w:val="009E7269"/>
    <w:rsid w:val="009F37D0"/>
    <w:rsid w:val="009F5529"/>
    <w:rsid w:val="00A0337D"/>
    <w:rsid w:val="00A1791C"/>
    <w:rsid w:val="00A219B0"/>
    <w:rsid w:val="00A243AE"/>
    <w:rsid w:val="00A335B5"/>
    <w:rsid w:val="00A34813"/>
    <w:rsid w:val="00A53C7F"/>
    <w:rsid w:val="00A60577"/>
    <w:rsid w:val="00A6658E"/>
    <w:rsid w:val="00A75A53"/>
    <w:rsid w:val="00A75FAD"/>
    <w:rsid w:val="00A81BDD"/>
    <w:rsid w:val="00AA03FB"/>
    <w:rsid w:val="00AB2C7A"/>
    <w:rsid w:val="00AC0E54"/>
    <w:rsid w:val="00AC591E"/>
    <w:rsid w:val="00AF5416"/>
    <w:rsid w:val="00B02E95"/>
    <w:rsid w:val="00B32137"/>
    <w:rsid w:val="00B32F93"/>
    <w:rsid w:val="00B645FA"/>
    <w:rsid w:val="00B676DD"/>
    <w:rsid w:val="00B73A14"/>
    <w:rsid w:val="00B80DD9"/>
    <w:rsid w:val="00B82A5E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BF4F87"/>
    <w:rsid w:val="00C00F44"/>
    <w:rsid w:val="00C04CD3"/>
    <w:rsid w:val="00C260F0"/>
    <w:rsid w:val="00C35279"/>
    <w:rsid w:val="00C45904"/>
    <w:rsid w:val="00C635D0"/>
    <w:rsid w:val="00C8288F"/>
    <w:rsid w:val="00C84E31"/>
    <w:rsid w:val="00C85BB0"/>
    <w:rsid w:val="00CA4527"/>
    <w:rsid w:val="00CC1642"/>
    <w:rsid w:val="00CD21F6"/>
    <w:rsid w:val="00CE30EA"/>
    <w:rsid w:val="00CE547A"/>
    <w:rsid w:val="00D12D1D"/>
    <w:rsid w:val="00D17294"/>
    <w:rsid w:val="00D226DD"/>
    <w:rsid w:val="00D51168"/>
    <w:rsid w:val="00D566D5"/>
    <w:rsid w:val="00D610F3"/>
    <w:rsid w:val="00D62C85"/>
    <w:rsid w:val="00D66F82"/>
    <w:rsid w:val="00D806BF"/>
    <w:rsid w:val="00D81C5D"/>
    <w:rsid w:val="00D84856"/>
    <w:rsid w:val="00D91947"/>
    <w:rsid w:val="00D95F10"/>
    <w:rsid w:val="00DC4246"/>
    <w:rsid w:val="00DD2069"/>
    <w:rsid w:val="00DE462C"/>
    <w:rsid w:val="00DF6FAB"/>
    <w:rsid w:val="00E05338"/>
    <w:rsid w:val="00E26891"/>
    <w:rsid w:val="00E3400D"/>
    <w:rsid w:val="00E52D7D"/>
    <w:rsid w:val="00E53EA6"/>
    <w:rsid w:val="00E56B9D"/>
    <w:rsid w:val="00E57B59"/>
    <w:rsid w:val="00E666BD"/>
    <w:rsid w:val="00E839A8"/>
    <w:rsid w:val="00EC1090"/>
    <w:rsid w:val="00EC6BCB"/>
    <w:rsid w:val="00EC7333"/>
    <w:rsid w:val="00F00A57"/>
    <w:rsid w:val="00F1393B"/>
    <w:rsid w:val="00F1486A"/>
    <w:rsid w:val="00F2285C"/>
    <w:rsid w:val="00F440A5"/>
    <w:rsid w:val="00F44B67"/>
    <w:rsid w:val="00F50ABA"/>
    <w:rsid w:val="00F57022"/>
    <w:rsid w:val="00F605E5"/>
    <w:rsid w:val="00F82759"/>
    <w:rsid w:val="00F82A73"/>
    <w:rsid w:val="00FA0AC7"/>
    <w:rsid w:val="00FA33F4"/>
    <w:rsid w:val="00FA3BB0"/>
    <w:rsid w:val="00FA43BD"/>
    <w:rsid w:val="00FA4F21"/>
    <w:rsid w:val="00FB2581"/>
    <w:rsid w:val="00FB4610"/>
    <w:rsid w:val="00FB76F4"/>
    <w:rsid w:val="00FC4729"/>
    <w:rsid w:val="00FE48DF"/>
    <w:rsid w:val="00FF31D1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59A68-A45D-4D0D-9C15-E54E83D79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4</cp:revision>
  <cp:lastPrinted>2018-05-22T11:28:00Z</cp:lastPrinted>
  <dcterms:created xsi:type="dcterms:W3CDTF">2018-06-25T13:35:00Z</dcterms:created>
  <dcterms:modified xsi:type="dcterms:W3CDTF">2018-06-27T08:18:00Z</dcterms:modified>
</cp:coreProperties>
</file>