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24" w:rsidRPr="009A2E24" w:rsidRDefault="009A2E24" w:rsidP="009A2E24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2E2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24" w:rsidRPr="009A2E24" w:rsidRDefault="009A2E24" w:rsidP="009A2E24">
      <w:pPr>
        <w:keepNext/>
        <w:spacing w:line="192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</w:p>
    <w:p w:rsidR="009A2E24" w:rsidRPr="009A2E24" w:rsidRDefault="009A2E24" w:rsidP="009A2E24">
      <w:pPr>
        <w:keepNext/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2E24">
        <w:rPr>
          <w:rFonts w:ascii="Times New Roman" w:eastAsia="Times New Roman" w:hAnsi="Times New Roman" w:cs="Times New Roman"/>
          <w:sz w:val="32"/>
          <w:szCs w:val="32"/>
          <w:lang w:eastAsia="ru-RU"/>
        </w:rPr>
        <w:t>ДНІПРОПЕТРОВСЬКА ОБЛАСНА ДЕРЖАВНА АДМІНІСТРАЦІЯ</w:t>
      </w:r>
    </w:p>
    <w:p w:rsidR="009A2E24" w:rsidRPr="009A2E24" w:rsidRDefault="009A2E24" w:rsidP="009A2E24">
      <w:pPr>
        <w:keepNext/>
        <w:spacing w:line="36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9A2E24">
        <w:rPr>
          <w:rFonts w:ascii="Times New Roman" w:eastAsia="Calibri" w:hAnsi="Times New Roman" w:cs="Times New Roman"/>
          <w:sz w:val="32"/>
          <w:szCs w:val="32"/>
          <w:lang w:eastAsia="ru-RU"/>
        </w:rPr>
        <w:t>ДЕПАРТАМЕНТ ОХОРОНИ ЗДОРОВ’Я</w:t>
      </w:r>
    </w:p>
    <w:p w:rsidR="009A2E24" w:rsidRPr="009A2E24" w:rsidRDefault="009A2E24" w:rsidP="009A2E24">
      <w:pPr>
        <w:keepNext/>
        <w:spacing w:line="360" w:lineRule="auto"/>
        <w:jc w:val="center"/>
        <w:rPr>
          <w:rFonts w:ascii="Times New Roman" w:eastAsia="Times New Roman" w:hAnsi="Times New Roman" w:cs="Times New Roman"/>
          <w:b/>
          <w:spacing w:val="120"/>
          <w:sz w:val="40"/>
          <w:szCs w:val="40"/>
          <w:lang w:eastAsia="ru-RU"/>
        </w:rPr>
      </w:pPr>
      <w:r w:rsidRPr="009A2E24">
        <w:rPr>
          <w:rFonts w:ascii="Times New Roman" w:eastAsia="Times New Roman" w:hAnsi="Times New Roman" w:cs="Times New Roman"/>
          <w:b/>
          <w:spacing w:val="120"/>
          <w:sz w:val="40"/>
          <w:szCs w:val="40"/>
          <w:lang w:eastAsia="ru-RU"/>
        </w:rPr>
        <w:t>НАКАЗ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9"/>
        <w:gridCol w:w="3310"/>
        <w:gridCol w:w="3255"/>
      </w:tblGrid>
      <w:tr w:rsidR="009A2E24" w:rsidRPr="009A2E24" w:rsidTr="004E5395">
        <w:trPr>
          <w:trHeight w:val="551"/>
        </w:trPr>
        <w:tc>
          <w:tcPr>
            <w:tcW w:w="3289" w:type="dxa"/>
            <w:shd w:val="clear" w:color="auto" w:fill="auto"/>
          </w:tcPr>
          <w:p w:rsidR="009A2E24" w:rsidRPr="00182732" w:rsidRDefault="008175D3" w:rsidP="009A2E24">
            <w:pPr>
              <w:jc w:val="lef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06.06.2018</w:t>
            </w:r>
          </w:p>
        </w:tc>
        <w:tc>
          <w:tcPr>
            <w:tcW w:w="3310" w:type="dxa"/>
            <w:shd w:val="clear" w:color="auto" w:fill="auto"/>
          </w:tcPr>
          <w:p w:rsidR="009A2E24" w:rsidRPr="009A2E24" w:rsidRDefault="009A2E24" w:rsidP="009A2E2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A2E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Дніпро</w:t>
            </w:r>
          </w:p>
        </w:tc>
        <w:tc>
          <w:tcPr>
            <w:tcW w:w="3255" w:type="dxa"/>
            <w:shd w:val="clear" w:color="auto" w:fill="auto"/>
          </w:tcPr>
          <w:p w:rsidR="009A2E24" w:rsidRPr="008175D3" w:rsidRDefault="009A2E24" w:rsidP="009A2E2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bookmarkStart w:id="0" w:name="_GoBack"/>
            <w:r w:rsidRPr="00817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  <w:r w:rsidR="008175D3" w:rsidRPr="00817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1028/0/197-18</w:t>
            </w:r>
            <w:bookmarkEnd w:id="0"/>
          </w:p>
        </w:tc>
      </w:tr>
    </w:tbl>
    <w:p w:rsidR="009A2E24" w:rsidRPr="009A2E24" w:rsidRDefault="009A2E24" w:rsidP="009A2E24">
      <w:pPr>
        <w:jc w:val="left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A2E24" w:rsidRPr="009A2E24" w:rsidTr="004E5395">
        <w:tc>
          <w:tcPr>
            <w:tcW w:w="4927" w:type="dxa"/>
            <w:shd w:val="clear" w:color="auto" w:fill="auto"/>
          </w:tcPr>
          <w:p w:rsidR="009A2E24" w:rsidRPr="009A2E24" w:rsidRDefault="009A2E24" w:rsidP="009A2E24">
            <w:pPr>
              <w:ind w:left="-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розподіл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антиретровірусного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препарату для лікування хворих на ВІЛ-інфекцію/СНІД та профілактики ВІЛ-інфікування, закупленого за кошти державного бюджету на 2017рік</w:t>
            </w:r>
          </w:p>
        </w:tc>
        <w:tc>
          <w:tcPr>
            <w:tcW w:w="4927" w:type="dxa"/>
            <w:shd w:val="clear" w:color="auto" w:fill="auto"/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2E24" w:rsidRDefault="009A2E24" w:rsidP="009A2E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9C3" w:rsidRPr="009A2E24" w:rsidRDefault="00B569C3" w:rsidP="009A2E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E24" w:rsidRPr="009A2E24" w:rsidRDefault="009A2E24" w:rsidP="009A2E24">
      <w:pPr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На виконання наказу Міністерства охорони здоров’я України </w:t>
      </w:r>
      <w:bookmarkStart w:id="1" w:name="_Hlk480292655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травня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№1038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Розподіл лікарського засобу «ІСЕНТРЕСС» для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антиретровірної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терапії дорослих, підлітків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дітей, закупленого за кошти д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ержавного бюджету України на 2017 рік“, </w:t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раціонального і цільового використання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 для лікування хворих на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ВІЛ-інфекцію/СНІД та профілактики ВІЛ-інфікування,</w:t>
      </w:r>
      <w:bookmarkEnd w:id="1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 надійшли до області шляхом централізованого постачання за бюджетною програмою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КПКВК 2301400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„Забезпечення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медичних заходів окремих державних програм та комплексних заходів програмного характеру“ за напрямом «Закупівля лікарських засобів, імунобіологічних препаратів (вакцин), медичних виробів, інших товарів і послуг в частині «Закупівля медикаментів для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антиретровірусної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терапії дорослих, підлітків і дітей»</w:t>
      </w:r>
    </w:p>
    <w:p w:rsidR="009A2E24" w:rsidRPr="009A2E24" w:rsidRDefault="009A2E24" w:rsidP="009A2E2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9A2E24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9A2E24" w:rsidRPr="009A2E24" w:rsidRDefault="009A2E24" w:rsidP="009A2E24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Розподілити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 ІСЕНТРЕСС для лікування хворих на ВІЛ-інфекцію/СНІД та профілактики ВІЛ-інфікування до закладів охорони здоров’я області у кількості та за переліком згідно з додатком. 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головного лікаря 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„Дніпропетровський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обласний центр з профілактики та боротьби зі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СНІДом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” (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Чухалова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забезпечити: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2.1. Отримання-передачу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антиретровірусного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препарату ІСЕНТРЕСС для лікування хворих на ВІЛ-інфекцію/СНІД та профілактики ВІЛ-інфікування до закладів охорони здоров’я області у кількості та за переліком згідно з додатком. </w:t>
      </w:r>
    </w:p>
    <w:p w:rsid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9C3" w:rsidRDefault="00B569C3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9C3" w:rsidRPr="00EB200C" w:rsidRDefault="00B569C3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00C" w:rsidRPr="00EB200C" w:rsidRDefault="00EB200C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9C3" w:rsidRDefault="00B569C3" w:rsidP="00B569C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569C3" w:rsidRPr="009A2E24" w:rsidRDefault="00B569C3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6E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Персональну відповідальність за цільовим і своєчасним використанням отриманого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антиретровірусного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препарату ІСЕНТРЕСС  для 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 хворих на ВІЛ-інфекцію/СНІД та профілактики ВІЛ-інфікування згідно з клінічними протоколами.</w:t>
      </w:r>
    </w:p>
    <w:p w:rsidR="009A2E24" w:rsidRPr="009A2E24" w:rsidRDefault="009A2E24" w:rsidP="00B569C3">
      <w:pPr>
        <w:tabs>
          <w:tab w:val="left" w:pos="4455"/>
        </w:tabs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Подання до ДУ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„Центр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громадського здоров’я Міністерства охорони здоров’я України“:</w:t>
      </w: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Інформації про отримання, використання та запас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препаратів, отриманих за рахунок коштів державного бюджету України згідно з додатком 6 до Комплексного плану розширення доступу населення до профілактики ВІЛ-інфекції, діагностики, лікування, догляду та підтримки хворих на</w:t>
      </w:r>
      <w:r w:rsidR="002F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ВІЛ-інфекцію/СНІД в Україні у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2017-2018 роках, затвердженого наказом Міністерства охорони здоров’я України від 27 квітня 2017 року №468.</w:t>
      </w:r>
    </w:p>
    <w:p w:rsidR="009A2E24" w:rsidRPr="00B569C3" w:rsidRDefault="009A2E24" w:rsidP="00B569C3">
      <w:pPr>
        <w:ind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Термін: щомісячно до 10 числа</w:t>
      </w:r>
    </w:p>
    <w:p w:rsidR="009A2E24" w:rsidRPr="00B569C3" w:rsidRDefault="009A2E24" w:rsidP="00B569C3">
      <w:pPr>
        <w:ind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місяця, наступного за звітним</w:t>
      </w:r>
    </w:p>
    <w:p w:rsidR="009A2E24" w:rsidRPr="00B569C3" w:rsidRDefault="009A2E24" w:rsidP="00B569C3">
      <w:pPr>
        <w:ind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B569C3" w:rsidRDefault="009A2E24" w:rsidP="00B569C3">
      <w:pPr>
        <w:tabs>
          <w:tab w:val="left" w:pos="0"/>
        </w:tabs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2.4.   Подання </w:t>
      </w:r>
      <w:r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актів списання до Державного підприємства „ </w:t>
      </w:r>
      <w:proofErr w:type="spellStart"/>
      <w:r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Укрвакцина</w:t>
      </w:r>
      <w:proofErr w:type="spellEnd"/>
      <w:r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“. </w:t>
      </w:r>
    </w:p>
    <w:p w:rsidR="00B569C3" w:rsidRPr="00B569C3" w:rsidRDefault="00B569C3" w:rsidP="00B569C3">
      <w:pPr>
        <w:tabs>
          <w:tab w:val="left" w:pos="0"/>
        </w:tabs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A2E24" w:rsidRPr="00B569C3" w:rsidRDefault="009A2E24" w:rsidP="00B569C3">
      <w:pPr>
        <w:tabs>
          <w:tab w:val="left" w:pos="0"/>
        </w:tabs>
        <w:ind w:left="5103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Термін: щомісячно до 06 числа                                                                      </w:t>
      </w:r>
      <w:r w:rsidR="00B569C3"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</w:t>
      </w:r>
      <w:r w:rsidRPr="00B569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місяця, наступного за звітним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Подання до ДУ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„Центр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громадського здоров’я Міністерства охорони здоров’я України“ та до департаменту охорони здоров’я облдержадміністрації інформації про кількість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препаратів, граничний термін придатності яких дорівнює 150 днів, та які неможливо буде використати до закінчення зазначеного терміну їх придатності.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Облік матеріальних цінностей відповідно до наказу департаменту охорони здоров’я облдержадміністрації від 23 лютого 2018 року №392/0/197-18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„Щодо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обліку матеріальних цінностей, які надходять до області шляхом централізованого постачання“</w:t>
      </w:r>
      <w:r w:rsidR="001E7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</w:t>
      </w:r>
      <w:r w:rsidR="001E71C3" w:rsidRPr="001E71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2E24" w:rsidRPr="009A2E24" w:rsidRDefault="009A2E24" w:rsidP="00B569C3">
      <w:pPr>
        <w:spacing w:line="18" w:lineRule="atLeast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Головним лікарям закладів охорони здоров’я області, зазначених у додатку, отримати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 ІСЕНТРЕСС для лікування хворих на ВІЛ-інфекцію/СНІД та профілактики ВІЛ-інфікування, у кількості та за переліком згідно з додатком протягом 1 робочого  дня  з дня реєстрації наказу та забезпечити:</w:t>
      </w: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tabs>
          <w:tab w:val="left" w:pos="540"/>
          <w:tab w:val="left" w:pos="720"/>
          <w:tab w:val="left" w:pos="900"/>
          <w:tab w:val="left" w:pos="126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      3.1.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Персональну відповідальність за цільовим і своєчасним використанням отриманих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 для лікування хворих на ВІЛ-інфекцію/СНІД та профілактики ВІЛ-інфікування згідно з клінічними протоколами. </w:t>
      </w:r>
    </w:p>
    <w:p w:rsidR="009A2E24" w:rsidRPr="009A2E24" w:rsidRDefault="009A2E24" w:rsidP="00B569C3">
      <w:pPr>
        <w:tabs>
          <w:tab w:val="left" w:pos="540"/>
          <w:tab w:val="left" w:pos="720"/>
          <w:tab w:val="left" w:pos="900"/>
          <w:tab w:val="left" w:pos="126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tabs>
          <w:tab w:val="left" w:pos="540"/>
          <w:tab w:val="left" w:pos="720"/>
          <w:tab w:val="left" w:pos="900"/>
          <w:tab w:val="left" w:pos="126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tabs>
          <w:tab w:val="left" w:pos="540"/>
          <w:tab w:val="left" w:pos="720"/>
          <w:tab w:val="left" w:pos="900"/>
          <w:tab w:val="left" w:pos="126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6E" w:rsidRDefault="002F626E" w:rsidP="00B569C3">
      <w:pPr>
        <w:tabs>
          <w:tab w:val="left" w:pos="4575"/>
        </w:tabs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569C3" w:rsidRDefault="00B569C3" w:rsidP="00B569C3">
      <w:pPr>
        <w:tabs>
          <w:tab w:val="left" w:pos="4575"/>
        </w:tabs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Подання до 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„Дніпропетровський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обласний центр з профілактики та боротьби зі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СНІДом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“:</w:t>
      </w:r>
    </w:p>
    <w:p w:rsidR="009A2E24" w:rsidRPr="009A2E24" w:rsidRDefault="009A2E24" w:rsidP="00B569C3">
      <w:pPr>
        <w:tabs>
          <w:tab w:val="left" w:pos="45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Інформації про отримання, використання та запас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препаратів, що надані шляхом централізованого постачання за рахунок коштів державного бюджету України згідно з додатком 6 Комплексного плану розширення доступ</w:t>
      </w:r>
      <w:r w:rsidR="002F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населення до профілактики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ВІЛ-інфекції, діагностики, лікування, </w:t>
      </w:r>
      <w:r w:rsidR="002F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догляду та підтримки хворих на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ВІЛ-інфекцію/СНІД в Україні у 2017-2018 роках, затвердженого наказом Міністерства охорони здоров’я України від 27 квітня 2017 року №468.</w:t>
      </w:r>
    </w:p>
    <w:p w:rsidR="009A2E24" w:rsidRPr="009A2E24" w:rsidRDefault="009A2E24" w:rsidP="00B569C3">
      <w:pPr>
        <w:spacing w:line="21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spacing w:line="216" w:lineRule="auto"/>
        <w:ind w:left="55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Термін: щомісячно до 3 числа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місяця, наступного за звітним</w:t>
      </w:r>
    </w:p>
    <w:p w:rsidR="009A2E24" w:rsidRPr="009A2E24" w:rsidRDefault="009A2E24" w:rsidP="00B569C3">
      <w:pPr>
        <w:spacing w:line="216" w:lineRule="auto"/>
        <w:ind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Default="009A2E24" w:rsidP="00B569C3">
      <w:pPr>
        <w:spacing w:line="216" w:lineRule="auto"/>
        <w:ind w:firstLine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Актів списання матеріальних цінностей.  </w:t>
      </w:r>
    </w:p>
    <w:p w:rsidR="00B569C3" w:rsidRPr="009A2E24" w:rsidRDefault="00B569C3" w:rsidP="00B569C3">
      <w:pPr>
        <w:spacing w:line="216" w:lineRule="auto"/>
        <w:ind w:firstLine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spacing w:line="21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Термін: щомісячно до 3 числа</w:t>
      </w:r>
    </w:p>
    <w:p w:rsidR="009A2E24" w:rsidRPr="009A2E24" w:rsidRDefault="009A2E24" w:rsidP="00B569C3">
      <w:pPr>
        <w:spacing w:line="21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місяця, наступного за звітним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2E24" w:rsidRPr="009A2E24" w:rsidRDefault="009A2E24" w:rsidP="00B569C3">
      <w:pPr>
        <w:keepNext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Інформації про кількість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антиретровірусних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препаратів, граничний термін придатності яких дорівнює 150 днів, та які неможливо буде використати до закінчення зазначеного терміну їх придатності.</w:t>
      </w:r>
    </w:p>
    <w:p w:rsidR="009A2E24" w:rsidRPr="009A2E24" w:rsidRDefault="009A2E24" w:rsidP="00B569C3">
      <w:pPr>
        <w:keepNext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Облік матеріальних цінностей відповідно до наказу департаменту охорони здоров’я облдержадміністрації від 23 лютого 2018 року №392/0/197-18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„Щодо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обліку матеріальних цінностей, які надходять до області шляхо</w:t>
      </w:r>
      <w:r w:rsidR="003303FF">
        <w:rPr>
          <w:rFonts w:ascii="Times New Roman" w:eastAsia="Times New Roman" w:hAnsi="Times New Roman" w:cs="Times New Roman"/>
          <w:sz w:val="28"/>
          <w:szCs w:val="28"/>
          <w:lang w:eastAsia="ru-RU"/>
        </w:rPr>
        <w:t>м централізованого постачання“ (зі змінами).</w:t>
      </w:r>
    </w:p>
    <w:p w:rsidR="009A2E24" w:rsidRPr="009A2E24" w:rsidRDefault="009A2E24" w:rsidP="00B569C3">
      <w:pPr>
        <w:spacing w:line="18" w:lineRule="atLeast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spacing w:line="18" w:lineRule="atLeast"/>
        <w:ind w:firstLine="708"/>
        <w:outlineLvl w:val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Головному спеціалісту відділу лікувально-профілактичної допомоги дорослому населенню (Покрова) к</w:t>
      </w:r>
      <w:r w:rsidRPr="009A2E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опії наказів щодо розподілів подавати до відділу бухгалтерського обліку та зведеної звітності та відділу організаційного забезпечення роботи зі зверненнями громадян з метою розміщення на сайті департаменту охорони здоров’я облдержадміністрації.  </w:t>
      </w:r>
    </w:p>
    <w:p w:rsidR="009A2E24" w:rsidRPr="009A2E24" w:rsidRDefault="009A2E24" w:rsidP="00B569C3">
      <w:pPr>
        <w:spacing w:line="18" w:lineRule="atLeast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Pr="009A2E24" w:rsidRDefault="009A2E24" w:rsidP="00B569C3">
      <w:pPr>
        <w:spacing w:line="280" w:lineRule="exac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виконанням наказу покласти на заступників директора департаменту охорони здоров’я облдержадміністрації, відповідальних за напрямком.</w:t>
      </w:r>
    </w:p>
    <w:p w:rsidR="009A2E24" w:rsidRPr="009A2E24" w:rsidRDefault="009A2E24" w:rsidP="00B569C3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Підстава:</w:t>
      </w:r>
    </w:p>
    <w:p w:rsidR="009A2E24" w:rsidRPr="009A2E24" w:rsidRDefault="009A2E24" w:rsidP="00B569C3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E24" w:rsidRPr="009A2E24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 МОЗ України від  31 травня  2018 року №1038;</w:t>
      </w:r>
    </w:p>
    <w:p w:rsidR="009A2E24" w:rsidRPr="00EB200C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 ОКЗ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„Криворізький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профілактики та боротьби зі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СНІДом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 від </w:t>
      </w:r>
      <w:bookmarkStart w:id="2" w:name="_Hlk480290153"/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04 червня 2018 року №828;</w:t>
      </w:r>
      <w:bookmarkEnd w:id="2"/>
    </w:p>
    <w:p w:rsidR="00EB200C" w:rsidRDefault="00EB200C" w:rsidP="00EB200C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00C" w:rsidRDefault="00EB200C" w:rsidP="00EB200C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00C" w:rsidRDefault="00EB200C" w:rsidP="00EB200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</w:p>
    <w:p w:rsidR="00EB200C" w:rsidRPr="009A2E24" w:rsidRDefault="00EB200C" w:rsidP="00EB20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E24" w:rsidRDefault="009A2E24" w:rsidP="00B569C3">
      <w:pPr>
        <w:numPr>
          <w:ilvl w:val="0"/>
          <w:numId w:val="1"/>
        </w:numPr>
        <w:tabs>
          <w:tab w:val="left" w:pos="3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„Дніпропетровська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клінічна лікарня №21 ім. Є.Г.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Попкової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“ ДОР“ від 0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 червня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2018 року №725;</w:t>
      </w:r>
    </w:p>
    <w:p w:rsidR="009A2E24" w:rsidRPr="002F626E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„Новомосковська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міська лікарня</w:t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 від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червня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2018 року №105/4;</w:t>
      </w:r>
      <w:r w:rsidRPr="002F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9A2E24" w:rsidRPr="009A2E24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КЗ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„Криворізька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клінічна лікарня №8</w:t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“ДОР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 червня </w:t>
      </w:r>
      <w:r w:rsidR="00B56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2018 року № 1145;</w:t>
      </w:r>
    </w:p>
    <w:p w:rsidR="009A2E24" w:rsidRPr="009A2E24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КЗ </w:t>
      </w:r>
      <w:bookmarkStart w:id="3" w:name="_Hlk480290260"/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„</w:t>
      </w:r>
      <w:bookmarkEnd w:id="3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Дніпропетровський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обласний центр з профілактики та боротьби зі </w:t>
      </w:r>
      <w:proofErr w:type="spellStart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СНІДом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 від </w:t>
      </w:r>
      <w:bookmarkStart w:id="4" w:name="_Hlk480290368"/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04 червня </w:t>
      </w:r>
      <w:bookmarkEnd w:id="4"/>
      <w:r w:rsidRPr="009A2E24">
        <w:rPr>
          <w:rFonts w:ascii="Times New Roman" w:eastAsia="Times New Roman" w:hAnsi="Times New Roman" w:cs="Times New Roman"/>
          <w:sz w:val="28"/>
          <w:szCs w:val="28"/>
          <w:lang w:eastAsia="ru-RU"/>
        </w:rPr>
        <w:t>2018 року №635/18;</w:t>
      </w:r>
    </w:p>
    <w:p w:rsidR="009A2E24" w:rsidRPr="009A2E24" w:rsidRDefault="009A2E24" w:rsidP="00B569C3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видаткова накладна від 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04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червня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Pr="009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року №СН-367.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E24" w:rsidRDefault="009A2E24" w:rsidP="00B569C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9C3" w:rsidRDefault="00B569C3" w:rsidP="00B569C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д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9A2E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департаменту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В.В.КУЛИК</w:t>
      </w:r>
    </w:p>
    <w:p w:rsidR="00B569C3" w:rsidRDefault="00B569C3" w:rsidP="00B569C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9C3" w:rsidRPr="009A2E24" w:rsidRDefault="00B569C3" w:rsidP="00B569C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4070" w:type="dxa"/>
        <w:tblLayout w:type="fixed"/>
        <w:tblLook w:val="0000" w:firstRow="0" w:lastRow="0" w:firstColumn="0" w:lastColumn="0" w:noHBand="0" w:noVBand="0"/>
      </w:tblPr>
      <w:tblGrid>
        <w:gridCol w:w="4070"/>
      </w:tblGrid>
      <w:tr w:rsidR="00B569C3" w:rsidRPr="009A2E24" w:rsidTr="00B569C3">
        <w:trPr>
          <w:trHeight w:val="182"/>
        </w:trPr>
        <w:tc>
          <w:tcPr>
            <w:tcW w:w="4070" w:type="dxa"/>
          </w:tcPr>
          <w:p w:rsidR="00B569C3" w:rsidRPr="009A2E24" w:rsidRDefault="00B569C3" w:rsidP="00B569C3">
            <w:pPr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9A2E24" w:rsidRPr="009A2E24" w:rsidRDefault="00B569C3" w:rsidP="00B569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2E24" w:rsidRPr="009A2E24" w:rsidRDefault="009A2E24" w:rsidP="00B569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2E24" w:rsidRPr="009A2E24" w:rsidRDefault="009A2E24" w:rsidP="009A2E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2E24" w:rsidRPr="009A2E24" w:rsidSect="009F5F2F">
          <w:headerReference w:type="even" r:id="rId10"/>
          <w:pgSz w:w="11906" w:h="16838"/>
          <w:pgMar w:top="426" w:right="567" w:bottom="1135" w:left="1701" w:header="709" w:footer="709" w:gutter="0"/>
          <w:cols w:space="720"/>
          <w:titlePg/>
        </w:sectPr>
      </w:pP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9A2E24" w:rsidP="009A2E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:rsidR="009A2E24" w:rsidRPr="009A2E24" w:rsidRDefault="009A2E24" w:rsidP="009A2E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E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наказу ДОЗ ОДА</w:t>
      </w:r>
    </w:p>
    <w:p w:rsidR="009A2E24" w:rsidRPr="009A2E24" w:rsidRDefault="009A2E24" w:rsidP="009A2E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E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_________ №__________</w:t>
      </w:r>
    </w:p>
    <w:p w:rsidR="009A2E24" w:rsidRPr="009A2E24" w:rsidRDefault="009A2E24" w:rsidP="009A2E24">
      <w:pPr>
        <w:tabs>
          <w:tab w:val="left" w:pos="1694"/>
          <w:tab w:val="left" w:pos="15266"/>
          <w:tab w:val="left" w:pos="16926"/>
        </w:tabs>
        <w:spacing w:line="21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E24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Розподіл </w:t>
      </w:r>
      <w:proofErr w:type="spellStart"/>
      <w:r w:rsidRPr="009A2E24">
        <w:rPr>
          <w:rFonts w:ascii="Times New Roman" w:eastAsia="Times New Roman" w:hAnsi="Times New Roman" w:cs="Times New Roman"/>
          <w:b/>
          <w:sz w:val="28"/>
          <w:szCs w:val="28"/>
        </w:rPr>
        <w:t>антиретровірусного</w:t>
      </w:r>
      <w:proofErr w:type="spellEnd"/>
      <w:r w:rsidRPr="009A2E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препарату </w:t>
      </w:r>
      <w:r w:rsidR="00B569C3">
        <w:rPr>
          <w:rFonts w:ascii="Times New Roman" w:eastAsia="Times New Roman" w:hAnsi="Times New Roman" w:cs="Times New Roman"/>
          <w:b/>
          <w:sz w:val="28"/>
          <w:szCs w:val="28"/>
        </w:rPr>
        <w:t>ІСЕНТРЕСС, отриманого за кошти д</w:t>
      </w:r>
      <w:r w:rsidRPr="009A2E24">
        <w:rPr>
          <w:rFonts w:ascii="Times New Roman" w:eastAsia="Times New Roman" w:hAnsi="Times New Roman" w:cs="Times New Roman"/>
          <w:b/>
          <w:sz w:val="28"/>
          <w:szCs w:val="28"/>
        </w:rPr>
        <w:t>ержавного бюджету на 2017 рік</w:t>
      </w: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0"/>
        <w:gridCol w:w="1403"/>
        <w:gridCol w:w="1403"/>
        <w:gridCol w:w="1403"/>
        <w:gridCol w:w="3464"/>
      </w:tblGrid>
      <w:tr w:rsidR="009A2E24" w:rsidRPr="009A2E24" w:rsidTr="004E5395">
        <w:trPr>
          <w:trHeight w:val="419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A2E24" w:rsidRPr="009A2E24" w:rsidRDefault="009A2E24" w:rsidP="009A2E2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A2E24" w:rsidRPr="009A2E24" w:rsidRDefault="009A2E24" w:rsidP="009A2E2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Торгівельна назва препарату, </w:t>
            </w:r>
          </w:p>
          <w:p w:rsidR="009A2E24" w:rsidRPr="009A2E24" w:rsidRDefault="009A2E24" w:rsidP="009A2E2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випуску</w:t>
            </w:r>
          </w:p>
          <w:p w:rsidR="009A2E24" w:rsidRPr="009A2E24" w:rsidRDefault="009A2E24" w:rsidP="009A2E24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ЗОЗ, до  якого </w:t>
            </w:r>
          </w:p>
          <w:p w:rsidR="009A2E24" w:rsidRPr="009A2E24" w:rsidRDefault="009A2E24" w:rsidP="009A2E24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здійснюється розподіл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Ісентресс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Ралтегравір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400 мг), вкриті оболонкою по 400мг №60</w:t>
            </w:r>
          </w:p>
        </w:tc>
      </w:tr>
      <w:tr w:rsidR="009A2E24" w:rsidRPr="009A2E24" w:rsidTr="004E5395">
        <w:trPr>
          <w:trHeight w:val="490"/>
        </w:trPr>
        <w:tc>
          <w:tcPr>
            <w:tcW w:w="2501" w:type="pct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A2E24" w:rsidRPr="009A2E24" w:rsidRDefault="009A2E24" w:rsidP="009A2E2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наказ МОЗ  від 31 травня 2018 року №1038</w:t>
            </w: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термін придатності 31.05.2019</w:t>
            </w: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серія №022917</w:t>
            </w:r>
          </w:p>
        </w:tc>
      </w:tr>
      <w:tr w:rsidR="009A2E24" w:rsidRPr="009A2E24" w:rsidTr="004E5395">
        <w:trPr>
          <w:trHeight w:val="59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A2E24" w:rsidRPr="009A2E24" w:rsidRDefault="009A2E24" w:rsidP="009A2E2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Кількість таблеток</w:t>
            </w:r>
          </w:p>
        </w:tc>
      </w:tr>
      <w:tr w:rsidR="009A2E24" w:rsidRPr="009A2E24" w:rsidTr="004E5395">
        <w:trPr>
          <w:trHeight w:val="419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КЗ</w:t>
            </w:r>
            <w:proofErr w:type="gram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„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Дніпропетровський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обласний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центр з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профілактики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боротьби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СНІДом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“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419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КЗ «Дніпропетровська міська клінічна лікарня №21 ім. проф. </w:t>
            </w:r>
            <w:r w:rsidRPr="009A2E2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Є.Г.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Попкової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» ДОР»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419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ОКЗ «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Криворізький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центр </w:t>
            </w:r>
            <w:proofErr w:type="spellStart"/>
            <w:proofErr w:type="gram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проф</w:t>
            </w:r>
            <w:proofErr w:type="gram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ілактики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боротьби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СНІДом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432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КЗ «Криворізька міська клінічна лікарня №8» ДОР»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233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КЗ</w:t>
            </w:r>
            <w:proofErr w:type="gram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«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Новомосковська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центральна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міська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лікарня</w:t>
            </w:r>
            <w:proofErr w:type="spellEnd"/>
            <w:r w:rsidRPr="009A2E24">
              <w:rPr>
                <w:rFonts w:ascii="Times New Roman" w:eastAsia="Times New Roman" w:hAnsi="Times New Roman" w:cs="Times New Roman"/>
                <w:lang w:val="ru-RU" w:eastAsia="ru-RU"/>
              </w:rPr>
              <w:t>» ДОР»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287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Всього: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E24">
              <w:rPr>
                <w:rFonts w:ascii="Times New Roman" w:eastAsia="Times New Roman" w:hAnsi="Times New Roman" w:cs="Times New Roman"/>
                <w:b/>
                <w:lang w:eastAsia="ru-RU"/>
              </w:rPr>
              <w:t>6360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2E24" w:rsidRPr="009A2E24" w:rsidRDefault="009A2E24" w:rsidP="009A2E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2E24" w:rsidRPr="009A2E24" w:rsidTr="004E5395">
        <w:trPr>
          <w:trHeight w:val="216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A2E24" w:rsidRPr="009A2E24" w:rsidRDefault="009A2E24" w:rsidP="009A2E24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9A2E24" w:rsidRPr="009A2E24" w:rsidRDefault="009A2E24" w:rsidP="009A2E2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9A2E24" w:rsidRPr="009A2E24" w:rsidRDefault="009A2E24" w:rsidP="009A2E2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9A2E24" w:rsidRPr="009A2E24" w:rsidRDefault="009A2E24" w:rsidP="009A2E2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</w:tcPr>
          <w:p w:rsidR="009A2E24" w:rsidRPr="009A2E24" w:rsidRDefault="009A2E24" w:rsidP="009A2E2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B569C3" w:rsidP="009A2E24">
      <w:pPr>
        <w:tabs>
          <w:tab w:val="left" w:pos="11616"/>
        </w:tabs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з</w:t>
      </w:r>
      <w:r w:rsidR="009A2E24" w:rsidRPr="009A2E24">
        <w:rPr>
          <w:rFonts w:ascii="Times New Roman" w:eastAsia="Times New Roman" w:hAnsi="Times New Roman" w:cs="Times New Roman"/>
          <w:sz w:val="28"/>
          <w:szCs w:val="28"/>
        </w:rPr>
        <w:t>аступник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A2E24" w:rsidRPr="009A2E24">
        <w:rPr>
          <w:rFonts w:ascii="Times New Roman" w:eastAsia="Times New Roman" w:hAnsi="Times New Roman" w:cs="Times New Roman"/>
          <w:sz w:val="28"/>
          <w:szCs w:val="28"/>
        </w:rPr>
        <w:t xml:space="preserve"> директора – 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A2E24" w:rsidRPr="009A2E24">
        <w:rPr>
          <w:rFonts w:ascii="Times New Roman" w:eastAsia="Times New Roman" w:hAnsi="Times New Roman" w:cs="Times New Roman"/>
          <w:sz w:val="28"/>
          <w:szCs w:val="28"/>
        </w:rPr>
        <w:t xml:space="preserve"> управління </w:t>
      </w:r>
    </w:p>
    <w:p w:rsidR="009A2E24" w:rsidRPr="009A2E24" w:rsidRDefault="009A2E24" w:rsidP="009A2E24">
      <w:pPr>
        <w:tabs>
          <w:tab w:val="left" w:pos="11616"/>
        </w:tabs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9A2E24">
        <w:rPr>
          <w:rFonts w:ascii="Times New Roman" w:eastAsia="Times New Roman" w:hAnsi="Times New Roman" w:cs="Times New Roman"/>
          <w:sz w:val="28"/>
          <w:szCs w:val="28"/>
        </w:rPr>
        <w:t>лікувально-профілактичної допомоги  населенню</w:t>
      </w:r>
      <w:r w:rsidRPr="009A2E24">
        <w:rPr>
          <w:rFonts w:ascii="Times New Roman" w:eastAsia="Times New Roman" w:hAnsi="Times New Roman" w:cs="Times New Roman"/>
          <w:sz w:val="28"/>
          <w:szCs w:val="28"/>
        </w:rPr>
        <w:tab/>
      </w:r>
      <w:r w:rsidR="00B569C3">
        <w:rPr>
          <w:rFonts w:ascii="Times New Roman" w:eastAsia="Times New Roman" w:hAnsi="Times New Roman" w:cs="Times New Roman"/>
          <w:sz w:val="28"/>
          <w:szCs w:val="28"/>
        </w:rPr>
        <w:t>В.В.</w:t>
      </w:r>
      <w:proofErr w:type="spellStart"/>
      <w:r w:rsidR="00B569C3">
        <w:rPr>
          <w:rFonts w:ascii="Times New Roman" w:eastAsia="Times New Roman" w:hAnsi="Times New Roman" w:cs="Times New Roman"/>
          <w:sz w:val="28"/>
          <w:szCs w:val="28"/>
        </w:rPr>
        <w:t>Вороновська</w:t>
      </w:r>
      <w:proofErr w:type="spellEnd"/>
      <w:r w:rsidRPr="009A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9A2E24" w:rsidP="009A2E2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2E24" w:rsidRPr="009A2E24" w:rsidRDefault="009A2E24" w:rsidP="009A2E24">
      <w:pPr>
        <w:tabs>
          <w:tab w:val="left" w:pos="1694"/>
          <w:tab w:val="left" w:pos="15266"/>
          <w:tab w:val="left" w:pos="16926"/>
        </w:tabs>
        <w:spacing w:line="216" w:lineRule="auto"/>
        <w:ind w:left="88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sectPr w:rsidR="009A2E24" w:rsidRPr="009A2E24" w:rsidSect="00432372">
          <w:pgSz w:w="16838" w:h="11906" w:orient="landscape"/>
          <w:pgMar w:top="567" w:right="567" w:bottom="1134" w:left="1134" w:header="709" w:footer="709" w:gutter="0"/>
          <w:cols w:space="720"/>
          <w:titlePg/>
        </w:sectPr>
      </w:pPr>
    </w:p>
    <w:p w:rsidR="002C65CF" w:rsidRDefault="002C65CF" w:rsidP="00B569C3"/>
    <w:sectPr w:rsidR="002C65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9B" w:rsidRDefault="00DD3A9B" w:rsidP="009A2E24">
      <w:r>
        <w:separator/>
      </w:r>
    </w:p>
  </w:endnote>
  <w:endnote w:type="continuationSeparator" w:id="0">
    <w:p w:rsidR="00DD3A9B" w:rsidRDefault="00DD3A9B" w:rsidP="009A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9B" w:rsidRDefault="00DD3A9B" w:rsidP="009A2E24">
      <w:r>
        <w:separator/>
      </w:r>
    </w:p>
  </w:footnote>
  <w:footnote w:type="continuationSeparator" w:id="0">
    <w:p w:rsidR="00DD3A9B" w:rsidRDefault="00DD3A9B" w:rsidP="009A2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35" w:rsidRDefault="00D86E1A" w:rsidP="00F301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2B35" w:rsidRDefault="00DD3A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927C3"/>
    <w:multiLevelType w:val="hybridMultilevel"/>
    <w:tmpl w:val="6FDCBE7E"/>
    <w:lvl w:ilvl="0" w:tplc="EE0CC47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2F"/>
    <w:rsid w:val="000B6D28"/>
    <w:rsid w:val="00182732"/>
    <w:rsid w:val="001D5060"/>
    <w:rsid w:val="001E71C3"/>
    <w:rsid w:val="00225073"/>
    <w:rsid w:val="002C65CF"/>
    <w:rsid w:val="002F626E"/>
    <w:rsid w:val="003303FF"/>
    <w:rsid w:val="007C612F"/>
    <w:rsid w:val="008175D3"/>
    <w:rsid w:val="00834879"/>
    <w:rsid w:val="00893AA0"/>
    <w:rsid w:val="009A2E24"/>
    <w:rsid w:val="00B11E8C"/>
    <w:rsid w:val="00B569C3"/>
    <w:rsid w:val="00B731B5"/>
    <w:rsid w:val="00D86E1A"/>
    <w:rsid w:val="00DD3A9B"/>
    <w:rsid w:val="00EB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2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2E24"/>
  </w:style>
  <w:style w:type="character" w:styleId="a5">
    <w:name w:val="page number"/>
    <w:basedOn w:val="a0"/>
    <w:rsid w:val="009A2E24"/>
  </w:style>
  <w:style w:type="paragraph" w:styleId="a6">
    <w:name w:val="footer"/>
    <w:basedOn w:val="a"/>
    <w:link w:val="a7"/>
    <w:uiPriority w:val="99"/>
    <w:unhideWhenUsed/>
    <w:rsid w:val="009A2E2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2E24"/>
  </w:style>
  <w:style w:type="paragraph" w:styleId="a8">
    <w:name w:val="Balloon Text"/>
    <w:basedOn w:val="a"/>
    <w:link w:val="a9"/>
    <w:uiPriority w:val="99"/>
    <w:semiHidden/>
    <w:unhideWhenUsed/>
    <w:rsid w:val="00B569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2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2E24"/>
  </w:style>
  <w:style w:type="character" w:styleId="a5">
    <w:name w:val="page number"/>
    <w:basedOn w:val="a0"/>
    <w:rsid w:val="009A2E24"/>
  </w:style>
  <w:style w:type="paragraph" w:styleId="a6">
    <w:name w:val="footer"/>
    <w:basedOn w:val="a"/>
    <w:link w:val="a7"/>
    <w:uiPriority w:val="99"/>
    <w:unhideWhenUsed/>
    <w:rsid w:val="009A2E2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2E24"/>
  </w:style>
  <w:style w:type="paragraph" w:styleId="a8">
    <w:name w:val="Balloon Text"/>
    <w:basedOn w:val="a"/>
    <w:link w:val="a9"/>
    <w:uiPriority w:val="99"/>
    <w:semiHidden/>
    <w:unhideWhenUsed/>
    <w:rsid w:val="00B569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66B7-4E58-4990-B082-0D2051F2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4900</Words>
  <Characters>2794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Носенко</dc:creator>
  <cp:keywords/>
  <dc:description/>
  <cp:lastModifiedBy>User</cp:lastModifiedBy>
  <cp:revision>14</cp:revision>
  <cp:lastPrinted>2018-06-06T12:15:00Z</cp:lastPrinted>
  <dcterms:created xsi:type="dcterms:W3CDTF">2018-06-05T05:52:00Z</dcterms:created>
  <dcterms:modified xsi:type="dcterms:W3CDTF">2018-06-07T11:32:00Z</dcterms:modified>
</cp:coreProperties>
</file>